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360"/>
        <w:jc w:val="both"/>
      </w:pPr>
    </w:p>
    <w:p w14:paraId="02000000">
      <w:pPr>
        <w:ind/>
        <w:jc w:val="right"/>
      </w:pPr>
      <w:r>
        <w:t>Приложение</w:t>
      </w:r>
      <w:r>
        <w:t xml:space="preserve"> 4</w:t>
      </w:r>
      <w:r>
        <w:t xml:space="preserve"> </w:t>
      </w:r>
    </w:p>
    <w:p w14:paraId="03000000">
      <w:pPr>
        <w:ind/>
        <w:jc w:val="right"/>
      </w:pPr>
      <w:r>
        <w:t>к решению</w:t>
      </w:r>
      <w:r>
        <w:t xml:space="preserve"> </w:t>
      </w:r>
      <w:r>
        <w:t>Совета депутатов</w:t>
      </w:r>
    </w:p>
    <w:p w14:paraId="04000000">
      <w:pPr>
        <w:ind/>
        <w:jc w:val="right"/>
      </w:pPr>
      <w:r>
        <w:t>сельского поселения  Селиярово</w:t>
      </w:r>
    </w:p>
    <w:p w14:paraId="05000000">
      <w:pPr>
        <w:ind/>
        <w:jc w:val="right"/>
      </w:pPr>
      <w:r>
        <w:t>от  27</w:t>
      </w:r>
      <w:r>
        <w:t>.06</w:t>
      </w:r>
      <w:r>
        <w:t>.2024</w:t>
      </w:r>
      <w:r>
        <w:t xml:space="preserve"> </w:t>
      </w:r>
      <w:r>
        <w:t xml:space="preserve"> </w:t>
      </w:r>
      <w:r>
        <w:t>№</w:t>
      </w:r>
      <w:r>
        <w:t xml:space="preserve"> 28</w:t>
      </w:r>
    </w:p>
    <w:p w14:paraId="06000000">
      <w:pPr>
        <w:ind/>
        <w:jc w:val="center"/>
        <w:rPr>
          <w:b w:val="1"/>
          <w:sz w:val="28"/>
        </w:rPr>
      </w:pPr>
    </w:p>
    <w:p w14:paraId="07000000">
      <w:pPr>
        <w:ind/>
        <w:jc w:val="center"/>
        <w:rPr>
          <w:b w:val="1"/>
          <w:sz w:val="28"/>
        </w:rPr>
      </w:pPr>
    </w:p>
    <w:p w14:paraId="08000000">
      <w:pPr>
        <w:ind/>
        <w:jc w:val="center"/>
        <w:rPr>
          <w:b w:val="1"/>
          <w:sz w:val="28"/>
        </w:rPr>
      </w:pPr>
    </w:p>
    <w:p w14:paraId="09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Объем межбюджетных трансфертов, передаваемых из бюджета сельского поселения </w:t>
      </w:r>
      <w:r>
        <w:rPr>
          <w:b w:val="1"/>
          <w:sz w:val="28"/>
        </w:rPr>
        <w:t>Селиярово</w:t>
      </w:r>
      <w:r>
        <w:rPr>
          <w:b w:val="1"/>
          <w:sz w:val="28"/>
        </w:rPr>
        <w:t xml:space="preserve"> бюджету Ханты-Мансийского муниципального района на 2024 год</w:t>
      </w:r>
    </w:p>
    <w:p w14:paraId="0A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и плановый период 2025 и 2026 годов</w:t>
      </w:r>
    </w:p>
    <w:p w14:paraId="0B000000">
      <w:pPr>
        <w:ind/>
        <w:jc w:val="center"/>
        <w:rPr>
          <w:b w:val="1"/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897"/>
        <w:gridCol w:w="1558"/>
        <w:gridCol w:w="1558"/>
        <w:gridCol w:w="1558"/>
      </w:tblGrid>
      <w:tr>
        <w:tc>
          <w:tcPr>
            <w:tcW w:type="dxa" w:w="48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 xml:space="preserve"> год, тыс.рублей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 год, тыс.рублей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 xml:space="preserve">6 </w:t>
            </w:r>
            <w:r>
              <w:rPr>
                <w:sz w:val="28"/>
              </w:rPr>
              <w:t>год, тыс.рублей</w:t>
            </w:r>
          </w:p>
        </w:tc>
      </w:tr>
      <w:tr>
        <w:tc>
          <w:tcPr>
            <w:tcW w:type="dxa" w:w="48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type="dxa" w:w="48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</w:pPr>
            <w:r>
              <w:t>М</w:t>
            </w:r>
            <w:r>
              <w:t>ежбюджетны</w:t>
            </w:r>
            <w:r>
              <w:t>е</w:t>
            </w:r>
            <w:r>
              <w:t xml:space="preserve"> трансферт</w:t>
            </w:r>
            <w:r>
              <w:t>ы</w:t>
            </w:r>
            <w:r>
              <w:t>, передаваемы</w:t>
            </w:r>
            <w:r>
              <w:t>е</w:t>
            </w:r>
            <w:r>
              <w:t xml:space="preserve"> по соглашениям из бюджета сельского поселения Селиярово бюджету Ханты-Мансийского муниципального района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</w:pPr>
            <w:r>
              <w:t>1009,36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</w:pPr>
            <w:r>
              <w:t>0,0</w:t>
            </w:r>
            <w:r>
              <w:t>0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</w:pPr>
            <w:r>
              <w:t>0,0</w:t>
            </w:r>
            <w:r>
              <w:t>0</w:t>
            </w:r>
          </w:p>
        </w:tc>
      </w:tr>
      <w:tr>
        <w:tc>
          <w:tcPr>
            <w:tcW w:type="dxa" w:w="48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</w:pPr>
            <w:r>
              <w:t>1009,36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</w:pPr>
            <w:r>
              <w:t>0,0</w:t>
            </w:r>
            <w:r>
              <w:t>0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</w:pPr>
            <w:r>
              <w:t>0,0</w:t>
            </w:r>
            <w:r>
              <w:t>0</w:t>
            </w:r>
          </w:p>
        </w:tc>
      </w:tr>
    </w:tbl>
    <w:p w14:paraId="1C000000">
      <w:pPr>
        <w:ind/>
        <w:jc w:val="both"/>
      </w:pPr>
    </w:p>
    <w:p w14:paraId="1D000000">
      <w:pPr>
        <w:ind/>
        <w:jc w:val="both"/>
      </w:pPr>
    </w:p>
    <w:p w14:paraId="1E000000"/>
    <w:p w14:paraId="1F000000">
      <w:pPr>
        <w:ind/>
        <w:jc w:val="both"/>
      </w:pPr>
    </w:p>
    <w:p w14:paraId="20000000">
      <w:pPr>
        <w:ind/>
        <w:jc w:val="both"/>
      </w:pPr>
    </w:p>
    <w:p w14:paraId="21000000">
      <w:pPr>
        <w:ind/>
        <w:jc w:val="both"/>
      </w:pPr>
    </w:p>
    <w:p w14:paraId="22000000">
      <w:pPr>
        <w:ind/>
        <w:jc w:val="both"/>
      </w:pPr>
    </w:p>
    <w:p w14:paraId="23000000">
      <w:pPr>
        <w:ind/>
        <w:jc w:val="both"/>
      </w:pPr>
    </w:p>
    <w:p w14:paraId="24000000">
      <w:pPr>
        <w:ind/>
        <w:jc w:val="both"/>
      </w:pPr>
    </w:p>
    <w:p w14:paraId="25000000">
      <w:pPr>
        <w:ind/>
        <w:jc w:val="both"/>
      </w:pPr>
    </w:p>
    <w:p w14:paraId="26000000">
      <w:pPr>
        <w:ind/>
        <w:jc w:val="both"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ody Text"/>
    <w:basedOn w:val="Style_2"/>
    <w:link w:val="Style_8_ch"/>
    <w:pPr>
      <w:spacing w:after="120"/>
      <w:ind/>
    </w:pPr>
  </w:style>
  <w:style w:styleId="Style_8_ch" w:type="character">
    <w:name w:val="Body Text"/>
    <w:basedOn w:val="Style_2_ch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ConsTitle"/>
    <w:link w:val="Style_17_ch"/>
    <w:pPr>
      <w:widowControl w:val="0"/>
      <w:ind w:right="19772"/>
    </w:pPr>
    <w:rPr>
      <w:rFonts w:ascii="Arial" w:hAnsi="Arial"/>
      <w:b w:val="1"/>
      <w:sz w:val="16"/>
    </w:rPr>
  </w:style>
  <w:style w:styleId="Style_17_ch" w:type="character">
    <w:name w:val="ConsTitle"/>
    <w:link w:val="Style_17"/>
    <w:rPr>
      <w:rFonts w:ascii="Arial" w:hAnsi="Arial"/>
      <w:b w:val="1"/>
      <w:sz w:val="16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Balloon Text"/>
    <w:basedOn w:val="Style_2"/>
    <w:link w:val="Style_19_ch"/>
    <w:rPr>
      <w:rFonts w:ascii="Tahoma" w:hAnsi="Tahoma"/>
      <w:sz w:val="16"/>
    </w:rPr>
  </w:style>
  <w:style w:styleId="Style_19_ch" w:type="character">
    <w:name w:val="Balloon Text"/>
    <w:basedOn w:val="Style_2_ch"/>
    <w:link w:val="Style_19"/>
    <w:rPr>
      <w:rFonts w:ascii="Tahoma" w:hAnsi="Tahoma"/>
      <w:sz w:val="16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2024-08-06T06:55:43Z</dcterms:modified>
</cp:coreProperties>
</file>